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F8" w:rsidRPr="00233EA7" w:rsidRDefault="00D755F8" w:rsidP="00233EA7">
      <w:pPr>
        <w:spacing w:line="360" w:lineRule="auto"/>
        <w:jc w:val="center"/>
        <w:rPr>
          <w:b/>
          <w:sz w:val="28"/>
        </w:rPr>
      </w:pPr>
      <w:bookmarkStart w:id="0" w:name="_GoBack"/>
      <w:r w:rsidRPr="00233EA7">
        <w:rPr>
          <w:b/>
          <w:sz w:val="28"/>
        </w:rPr>
        <w:t xml:space="preserve">Лекция </w:t>
      </w:r>
      <w:r w:rsidR="00233EA7">
        <w:rPr>
          <w:b/>
          <w:sz w:val="28"/>
        </w:rPr>
        <w:t>10</w:t>
      </w:r>
      <w:r w:rsidRPr="00233EA7">
        <w:rPr>
          <w:b/>
          <w:sz w:val="28"/>
        </w:rPr>
        <w:t xml:space="preserve">. Расчет состава и параметров продуктов </w:t>
      </w:r>
      <w:r w:rsidR="00890692" w:rsidRPr="00233EA7">
        <w:rPr>
          <w:b/>
          <w:sz w:val="28"/>
        </w:rPr>
        <w:t>детонации Чепмена-</w:t>
      </w:r>
      <w:proofErr w:type="spellStart"/>
      <w:r w:rsidR="00890692" w:rsidRPr="00233EA7">
        <w:rPr>
          <w:b/>
          <w:sz w:val="28"/>
        </w:rPr>
        <w:t>Жуге</w:t>
      </w:r>
      <w:proofErr w:type="spellEnd"/>
    </w:p>
    <w:p w:rsidR="00117F96" w:rsidRDefault="00D755F8" w:rsidP="00233EA7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90692">
        <w:rPr>
          <w:b/>
          <w:bCs/>
        </w:rPr>
        <w:fldChar w:fldCharType="begin"/>
      </w:r>
      <w:r w:rsidRPr="00890692">
        <w:rPr>
          <w:b/>
          <w:bCs/>
        </w:rPr>
        <w:instrText xml:space="preserve"> TOC \o "1-3" \h \z \u </w:instrText>
      </w:r>
      <w:r w:rsidRPr="00890692">
        <w:rPr>
          <w:b/>
          <w:bCs/>
        </w:rPr>
        <w:fldChar w:fldCharType="separate"/>
      </w:r>
      <w:hyperlink w:anchor="_Toc427262413" w:history="1">
        <w:r w:rsidR="00117F96" w:rsidRPr="00997192">
          <w:rPr>
            <w:rStyle w:val="a6"/>
            <w:noProof/>
          </w:rPr>
          <w:t>Расчет состава и параметров продуктов детонации чепмена-жуге</w:t>
        </w:r>
        <w:r w:rsidR="00117F96">
          <w:rPr>
            <w:noProof/>
            <w:webHidden/>
          </w:rPr>
          <w:tab/>
        </w:r>
        <w:r w:rsidR="00117F96">
          <w:rPr>
            <w:noProof/>
            <w:webHidden/>
          </w:rPr>
          <w:fldChar w:fldCharType="begin"/>
        </w:r>
        <w:r w:rsidR="00117F96">
          <w:rPr>
            <w:noProof/>
            <w:webHidden/>
          </w:rPr>
          <w:instrText xml:space="preserve"> PAGEREF _Toc427262413 \h </w:instrText>
        </w:r>
        <w:r w:rsidR="00117F96">
          <w:rPr>
            <w:noProof/>
            <w:webHidden/>
          </w:rPr>
        </w:r>
        <w:r w:rsidR="00117F96">
          <w:rPr>
            <w:noProof/>
            <w:webHidden/>
          </w:rPr>
          <w:fldChar w:fldCharType="separate"/>
        </w:r>
        <w:r w:rsidR="00117F96">
          <w:rPr>
            <w:noProof/>
            <w:webHidden/>
          </w:rPr>
          <w:t>2</w:t>
        </w:r>
        <w:r w:rsidR="00117F96">
          <w:rPr>
            <w:noProof/>
            <w:webHidden/>
          </w:rPr>
          <w:fldChar w:fldCharType="end"/>
        </w:r>
      </w:hyperlink>
    </w:p>
    <w:p w:rsidR="00117F96" w:rsidRDefault="002F34DC" w:rsidP="00233EA7">
      <w:pPr>
        <w:pStyle w:val="11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7262414" w:history="1">
        <w:r w:rsidR="00117F96" w:rsidRPr="00997192">
          <w:rPr>
            <w:rStyle w:val="a6"/>
            <w:noProof/>
          </w:rPr>
          <w:t>Пример расчета свойств продуктов детонации конденсированного ВВ с использованием реалистичных уравнений состояния.</w:t>
        </w:r>
        <w:r w:rsidR="00117F96">
          <w:rPr>
            <w:noProof/>
            <w:webHidden/>
          </w:rPr>
          <w:tab/>
        </w:r>
        <w:r w:rsidR="00117F96">
          <w:rPr>
            <w:noProof/>
            <w:webHidden/>
          </w:rPr>
          <w:fldChar w:fldCharType="begin"/>
        </w:r>
        <w:r w:rsidR="00117F96">
          <w:rPr>
            <w:noProof/>
            <w:webHidden/>
          </w:rPr>
          <w:instrText xml:space="preserve"> PAGEREF _Toc427262414 \h </w:instrText>
        </w:r>
        <w:r w:rsidR="00117F96">
          <w:rPr>
            <w:noProof/>
            <w:webHidden/>
          </w:rPr>
        </w:r>
        <w:r w:rsidR="00117F96">
          <w:rPr>
            <w:noProof/>
            <w:webHidden/>
          </w:rPr>
          <w:fldChar w:fldCharType="separate"/>
        </w:r>
        <w:r w:rsidR="00117F96">
          <w:rPr>
            <w:noProof/>
            <w:webHidden/>
          </w:rPr>
          <w:t>4</w:t>
        </w:r>
        <w:r w:rsidR="00117F96">
          <w:rPr>
            <w:noProof/>
            <w:webHidden/>
          </w:rPr>
          <w:fldChar w:fldCharType="end"/>
        </w:r>
      </w:hyperlink>
    </w:p>
    <w:p w:rsidR="002D27D1" w:rsidRPr="00890692" w:rsidRDefault="00D755F8" w:rsidP="00233EA7">
      <w:pPr>
        <w:pStyle w:val="1"/>
        <w:keepNext w:val="0"/>
        <w:pageBreakBefore/>
        <w:spacing w:line="360" w:lineRule="auto"/>
        <w:rPr>
          <w:sz w:val="24"/>
          <w:szCs w:val="24"/>
        </w:rPr>
      </w:pPr>
      <w:r w:rsidRPr="00890692">
        <w:rPr>
          <w:b w:val="0"/>
          <w:bCs/>
          <w:sz w:val="24"/>
          <w:szCs w:val="24"/>
        </w:rPr>
        <w:lastRenderedPageBreak/>
        <w:fldChar w:fldCharType="end"/>
      </w:r>
      <w:bookmarkStart w:id="1" w:name="_Toc427262413"/>
      <w:r w:rsidR="002D27D1" w:rsidRPr="00890692">
        <w:rPr>
          <w:sz w:val="24"/>
          <w:szCs w:val="24"/>
        </w:rPr>
        <w:t xml:space="preserve">Расчет состава и параметров продуктов </w:t>
      </w:r>
      <w:r w:rsidR="00E13B82">
        <w:rPr>
          <w:sz w:val="24"/>
          <w:szCs w:val="24"/>
        </w:rPr>
        <w:t>детонации чепмена-жуге</w:t>
      </w:r>
      <w:bookmarkEnd w:id="1"/>
    </w:p>
    <w:p w:rsidR="006D5342" w:rsidRPr="008F4606" w:rsidRDefault="008F4606" w:rsidP="00233EA7">
      <w:pPr>
        <w:spacing w:line="360" w:lineRule="auto"/>
        <w:ind w:right="284" w:firstLine="708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E645BE" wp14:editId="6F0E9024">
            <wp:simplePos x="0" y="0"/>
            <wp:positionH relativeFrom="column">
              <wp:posOffset>4427220</wp:posOffset>
            </wp:positionH>
            <wp:positionV relativeFrom="paragraph">
              <wp:posOffset>67945</wp:posOffset>
            </wp:positionV>
            <wp:extent cx="1318895" cy="12077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hd w:val="clear" w:color="auto" w:fill="FFFFFF"/>
        </w:rPr>
        <w:t>По модели Чепмена-</w:t>
      </w:r>
      <w:proofErr w:type="spellStart"/>
      <w:r>
        <w:rPr>
          <w:color w:val="000000"/>
          <w:shd w:val="clear" w:color="auto" w:fill="FFFFFF"/>
        </w:rPr>
        <w:t>Жуге</w:t>
      </w:r>
      <w:proofErr w:type="spellEnd"/>
      <w:r>
        <w:rPr>
          <w:color w:val="000000"/>
          <w:shd w:val="clear" w:color="auto" w:fill="FFFFFF"/>
        </w:rPr>
        <w:t xml:space="preserve"> в</w:t>
      </w:r>
      <w:r w:rsidRPr="008F4606">
        <w:rPr>
          <w:color w:val="000000"/>
          <w:shd w:val="clear" w:color="auto" w:fill="FFFFFF"/>
        </w:rPr>
        <w:t xml:space="preserve"> однородном взрывчатом веществе волна детонации распространяется с постоянной скоростью, которая среди возможных для данного взрывчатого вещества скоростей детонационной волны является минимальной. В этом случае зона химической реакции перемещается относительно продуктов реакции со скоростью звука. Благодаря этому волна разрежения, возникающая при расширении</w:t>
      </w:r>
      <w:r>
        <w:rPr>
          <w:color w:val="000000"/>
          <w:shd w:val="clear" w:color="auto" w:fill="FFFFFF"/>
        </w:rPr>
        <w:t xml:space="preserve"> </w:t>
      </w:r>
      <w:r w:rsidRPr="008F4606">
        <w:rPr>
          <w:shd w:val="clear" w:color="auto" w:fill="FFFFFF"/>
        </w:rPr>
        <w:t>газообразных продуктов</w:t>
      </w:r>
      <w:r w:rsidRPr="008F4606">
        <w:rPr>
          <w:color w:val="000000"/>
          <w:shd w:val="clear" w:color="auto" w:fill="FFFFFF"/>
        </w:rPr>
        <w:t xml:space="preserve">, не может проникнуть в зону реакции и ослабить ударную волну. </w:t>
      </w:r>
      <w:r w:rsidR="006D5342" w:rsidRPr="008F4606">
        <w:t xml:space="preserve">Состояние за фронтом детонационной волны выделяется условием Чепмена — </w:t>
      </w:r>
      <w:proofErr w:type="spellStart"/>
      <w:r w:rsidR="006D5342" w:rsidRPr="008F4606">
        <w:t>Жуге</w:t>
      </w:r>
      <w:proofErr w:type="spellEnd"/>
      <w:r w:rsidR="006D5342" w:rsidRPr="008F4606">
        <w:t xml:space="preserve"> в форме минимальности скорости нормальной детонации</w:t>
      </w:r>
    </w:p>
    <w:p w:rsidR="006D5342" w:rsidRPr="008F4606" w:rsidRDefault="006D5342" w:rsidP="00233EA7">
      <w:pPr>
        <w:spacing w:line="360" w:lineRule="auto"/>
        <w:ind w:right="284"/>
        <w:jc w:val="center"/>
      </w:pPr>
      <w:r w:rsidRPr="008F4606">
        <w:rPr>
          <w:b/>
          <w:i/>
        </w:rPr>
        <w:t>D</w:t>
      </w:r>
      <w:r w:rsidRPr="008F4606">
        <w:rPr>
          <w:b/>
        </w:rPr>
        <w:t>=</w:t>
      </w:r>
      <w:proofErr w:type="spellStart"/>
      <w:r w:rsidRPr="008F4606">
        <w:rPr>
          <w:b/>
        </w:rPr>
        <w:t>min</w:t>
      </w:r>
      <w:proofErr w:type="spellEnd"/>
    </w:p>
    <w:p w:rsidR="006D5342" w:rsidRDefault="006D5342" w:rsidP="00233EA7">
      <w:pPr>
        <w:spacing w:line="360" w:lineRule="auto"/>
        <w:ind w:right="284"/>
        <w:jc w:val="both"/>
      </w:pPr>
      <w:r w:rsidRPr="008F4606">
        <w:t>при вы</w:t>
      </w:r>
      <w:r>
        <w:t>полнении всех уравнений сохранения гидродинамической модели.</w:t>
      </w:r>
    </w:p>
    <w:p w:rsidR="006D5342" w:rsidRPr="00324EF5" w:rsidRDefault="00324EF5" w:rsidP="00233EA7">
      <w:pPr>
        <w:spacing w:line="360" w:lineRule="auto"/>
        <w:ind w:right="283"/>
        <w:jc w:val="both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D=</m:t>
          </m:r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</w:rPr>
                <m:t>min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→S=</m:t>
              </m:r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min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→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</w:rPr>
                <m:t>u=c</m:t>
              </m:r>
            </m:e>
          </m:func>
        </m:oMath>
      </m:oMathPara>
    </w:p>
    <w:p w:rsidR="006D5342" w:rsidRDefault="006D5342" w:rsidP="00233EA7">
      <w:pPr>
        <w:spacing w:line="360" w:lineRule="auto"/>
        <w:ind w:right="283"/>
        <w:jc w:val="both"/>
      </w:pPr>
    </w:p>
    <w:p w:rsidR="006D5342" w:rsidRDefault="00755720" w:rsidP="00233EA7">
      <w:pPr>
        <w:spacing w:line="360" w:lineRule="auto"/>
        <w:ind w:right="283" w:firstLine="708"/>
        <w:jc w:val="both"/>
      </w:pPr>
      <w:r w:rsidRPr="00324EF5">
        <w:rPr>
          <w:b/>
        </w:rPr>
        <w:t xml:space="preserve">!! </w:t>
      </w:r>
      <w:r w:rsidR="00324EF5">
        <w:t>У</w:t>
      </w:r>
      <w:r>
        <w:t xml:space="preserve">словие равенства скорости потока продуктов детонации (ПД) относительно детонационного фронта и скорости звука в ПД в точке Чепмена — </w:t>
      </w:r>
      <w:proofErr w:type="spellStart"/>
      <w:r>
        <w:t>Жуге</w:t>
      </w:r>
      <w:proofErr w:type="spellEnd"/>
      <w:r>
        <w:t xml:space="preserve"> </w:t>
      </w:r>
      <w:r w:rsidR="006D5342">
        <w:t>теряет однозначность при наличии разных фаз в ПД, движущихся с различными скоростями, и требует дополнительного исследования.</w:t>
      </w:r>
    </w:p>
    <w:p w:rsidR="00324EF5" w:rsidRDefault="006D5342" w:rsidP="00233EA7">
      <w:pPr>
        <w:spacing w:line="360" w:lineRule="auto"/>
        <w:ind w:right="283"/>
        <w:jc w:val="both"/>
      </w:pPr>
      <w:r>
        <w:tab/>
      </w:r>
      <w:r w:rsidR="00324EF5" w:rsidRPr="00324EF5">
        <w:rPr>
          <w:b/>
        </w:rPr>
        <w:t>!!</w:t>
      </w:r>
      <w:r w:rsidR="00324EF5">
        <w:t xml:space="preserve"> </w:t>
      </w:r>
      <w:r>
        <w:t>Использование условия минимальности энтропии на детонационной адиабате приводит к необходимости расчета вторых производных от термодинамических параметров, что вызывает существенное усложнение математических выкладок и расчетов на ЭВМ, а также снижение точности.</w:t>
      </w:r>
    </w:p>
    <w:p w:rsidR="00324EF5" w:rsidRDefault="00324EF5" w:rsidP="00233EA7">
      <w:pPr>
        <w:spacing w:line="360" w:lineRule="auto"/>
        <w:ind w:right="283" w:firstLine="708"/>
        <w:jc w:val="both"/>
      </w:pPr>
      <w:r>
        <w:t>Оптимально</w:t>
      </w:r>
      <w:r w:rsidR="006D5342">
        <w:t xml:space="preserve"> использ</w:t>
      </w:r>
      <w:r>
        <w:t>овать</w:t>
      </w:r>
      <w:r w:rsidR="006D5342">
        <w:t xml:space="preserve"> метод минимизации скорости детонации для термодинамического расчета детонации.</w:t>
      </w:r>
    </w:p>
    <w:p w:rsidR="006D5342" w:rsidRDefault="00324EF5" w:rsidP="00233EA7">
      <w:pPr>
        <w:spacing w:line="360" w:lineRule="auto"/>
        <w:ind w:right="283" w:firstLine="708"/>
        <w:jc w:val="both"/>
      </w:pPr>
      <w:r w:rsidRPr="00324EF5">
        <w:rPr>
          <w:i/>
        </w:rPr>
        <w:t>Система уравнений</w:t>
      </w:r>
      <w:r w:rsidR="006D5342">
        <w:t>:</w:t>
      </w:r>
    </w:p>
    <w:p w:rsidR="006D5342" w:rsidRDefault="006D5342" w:rsidP="00233EA7">
      <w:pPr>
        <w:spacing w:line="360" w:lineRule="auto"/>
        <w:ind w:right="283"/>
        <w:jc w:val="both"/>
      </w:pPr>
      <w:r>
        <w:tab/>
        <w:t>уравнение сохранения потока массы всей смеси</w:t>
      </w:r>
    </w:p>
    <w:p w:rsidR="006D5342" w:rsidRDefault="00E35631" w:rsidP="00233EA7">
      <w:pPr>
        <w:spacing w:line="360" w:lineRule="auto"/>
        <w:ind w:right="283"/>
        <w:jc w:val="right"/>
      </w:pPr>
      <w:r w:rsidRPr="00E35631">
        <w:rPr>
          <w:position w:val="-30"/>
          <w:szCs w:val="20"/>
        </w:rPr>
        <w:object w:dxaOrig="33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6pt;height:35.1pt" o:ole="">
            <v:imagedata r:id="rId9" o:title=""/>
          </v:shape>
          <o:OLEObject Type="Embed" ProgID="Equation.3" ShapeID="_x0000_i1025" DrawAspect="Content" ObjectID="_1509201031" r:id="rId10"/>
        </w:object>
      </w:r>
      <w:r w:rsidR="006D5342">
        <w:t xml:space="preserve">                        (</w:t>
      </w:r>
      <w:r w:rsidR="00324EF5">
        <w:t>1</w:t>
      </w:r>
      <w:r w:rsidR="006D5342">
        <w:t>)</w:t>
      </w:r>
    </w:p>
    <w:p w:rsidR="006D5342" w:rsidRDefault="006D5342" w:rsidP="00233EA7">
      <w:pPr>
        <w:spacing w:line="360" w:lineRule="auto"/>
        <w:ind w:right="283"/>
        <w:jc w:val="both"/>
      </w:pPr>
      <w:r>
        <w:tab/>
        <w:t>уравнение сохранения потока импульса</w:t>
      </w:r>
    </w:p>
    <w:p w:rsidR="006D5342" w:rsidRDefault="00E35631" w:rsidP="00233EA7">
      <w:pPr>
        <w:spacing w:line="360" w:lineRule="auto"/>
        <w:ind w:right="283"/>
        <w:jc w:val="right"/>
      </w:pPr>
      <w:r w:rsidRPr="00E35631">
        <w:rPr>
          <w:position w:val="-32"/>
          <w:szCs w:val="20"/>
        </w:rPr>
        <w:object w:dxaOrig="4420" w:dyaOrig="760">
          <v:shape id="_x0000_i1026" type="#_x0000_t75" style="width:220.85pt;height:38.1pt" o:ole="">
            <v:imagedata r:id="rId11" o:title=""/>
          </v:shape>
          <o:OLEObject Type="Embed" ProgID="Equation.3" ShapeID="_x0000_i1026" DrawAspect="Content" ObjectID="_1509201032" r:id="rId12"/>
        </w:object>
      </w:r>
      <w:r w:rsidR="006D5342">
        <w:t xml:space="preserve">                </w:t>
      </w:r>
      <w:r w:rsidR="00324EF5">
        <w:t>(2</w:t>
      </w:r>
      <w:r w:rsidR="006D5342">
        <w:t>)</w:t>
      </w:r>
    </w:p>
    <w:p w:rsidR="006D5342" w:rsidRDefault="006D5342" w:rsidP="00233EA7">
      <w:pPr>
        <w:spacing w:line="360" w:lineRule="auto"/>
        <w:ind w:right="283"/>
        <w:jc w:val="both"/>
      </w:pPr>
      <w:r>
        <w:tab/>
        <w:t>уравнение сохранения потока энергии</w:t>
      </w:r>
    </w:p>
    <w:p w:rsidR="006D5342" w:rsidRDefault="00E35631" w:rsidP="00233EA7">
      <w:pPr>
        <w:spacing w:line="360" w:lineRule="auto"/>
        <w:ind w:right="283"/>
        <w:jc w:val="right"/>
        <w:rPr>
          <w:sz w:val="20"/>
        </w:rPr>
      </w:pPr>
      <w:r w:rsidRPr="00E35631">
        <w:rPr>
          <w:position w:val="-32"/>
          <w:szCs w:val="20"/>
        </w:rPr>
        <w:object w:dxaOrig="6180" w:dyaOrig="760">
          <v:shape id="_x0000_i1027" type="#_x0000_t75" style="width:309.2pt;height:38.1pt" o:ole="">
            <v:imagedata r:id="rId13" o:title=""/>
          </v:shape>
          <o:OLEObject Type="Embed" ProgID="Equation.3" ShapeID="_x0000_i1027" DrawAspect="Content" ObjectID="_1509201033" r:id="rId14"/>
        </w:object>
      </w:r>
      <w:r w:rsidR="006D5342">
        <w:t xml:space="preserve">    </w:t>
      </w:r>
      <w:r w:rsidR="00324EF5">
        <w:t>(3</w:t>
      </w:r>
      <w:r w:rsidR="006D5342">
        <w:t>)</w:t>
      </w:r>
    </w:p>
    <w:p w:rsidR="006D5342" w:rsidRDefault="006D5342" w:rsidP="00233EA7">
      <w:pPr>
        <w:spacing w:line="360" w:lineRule="auto"/>
        <w:ind w:right="283"/>
        <w:jc w:val="both"/>
      </w:pPr>
      <w:r>
        <w:tab/>
        <w:t>условие Чепмена — Жуге</w:t>
      </w:r>
    </w:p>
    <w:p w:rsidR="006D5342" w:rsidRDefault="006D5342" w:rsidP="00233EA7">
      <w:pPr>
        <w:spacing w:line="360" w:lineRule="auto"/>
        <w:ind w:right="283"/>
        <w:jc w:val="right"/>
      </w:pPr>
      <w:r w:rsidRPr="00E35631">
        <w:rPr>
          <w:i/>
        </w:rPr>
        <w:t>D</w:t>
      </w:r>
      <w:r>
        <w:t xml:space="preserve">=min;                                             </w:t>
      </w:r>
      <w:r w:rsidR="00324EF5">
        <w:t>(4</w:t>
      </w:r>
      <w:r>
        <w:t>)</w:t>
      </w:r>
    </w:p>
    <w:p w:rsidR="00324EF5" w:rsidRDefault="006D5342" w:rsidP="00233EA7">
      <w:pPr>
        <w:spacing w:line="360" w:lineRule="auto"/>
        <w:ind w:right="283"/>
        <w:jc w:val="both"/>
      </w:pPr>
      <w:r>
        <w:t xml:space="preserve">где </w:t>
      </w:r>
      <w:r w:rsidRPr="00755720">
        <w:rPr>
          <w:i/>
        </w:rPr>
        <w:t>p</w:t>
      </w:r>
      <w:r>
        <w:rPr>
          <w:vertAlign w:val="subscript"/>
        </w:rPr>
        <w:t>0</w:t>
      </w:r>
      <w:r>
        <w:t xml:space="preserve">, </w:t>
      </w:r>
      <w:r w:rsidRPr="00755720">
        <w:rPr>
          <w:i/>
        </w:rPr>
        <w:t>v</w:t>
      </w:r>
      <w:r>
        <w:rPr>
          <w:vertAlign w:val="subscript"/>
        </w:rPr>
        <w:t>0</w:t>
      </w:r>
      <w:r>
        <w:t xml:space="preserve">, </w:t>
      </w:r>
      <w:r w:rsidRPr="00755720">
        <w:rPr>
          <w:i/>
        </w:rPr>
        <w:t>h</w:t>
      </w:r>
      <w:r>
        <w:rPr>
          <w:vertAlign w:val="subscript"/>
        </w:rPr>
        <w:t>0</w:t>
      </w:r>
      <w:r>
        <w:t xml:space="preserve"> — давление, удельный объем и удельная энтальпия исходной смеси; </w:t>
      </w:r>
      <w:r w:rsidRPr="00755720">
        <w:rPr>
          <w:i/>
        </w:rPr>
        <w:t>D</w:t>
      </w:r>
      <w:r>
        <w:t xml:space="preserve"> — скорость детонации; </w:t>
      </w:r>
      <w:r w:rsidRPr="00755720">
        <w:rPr>
          <w:i/>
        </w:rPr>
        <w:t>w</w:t>
      </w:r>
      <w:r w:rsidRPr="00755720">
        <w:rPr>
          <w:i/>
          <w:vertAlign w:val="subscript"/>
        </w:rPr>
        <w:t>g</w:t>
      </w:r>
      <w:r>
        <w:t xml:space="preserve">  — скорость потока газовой фазы относительно детонационного фронта; </w:t>
      </w:r>
      <w:r w:rsidRPr="00755720">
        <w:rPr>
          <w:i/>
        </w:rPr>
        <w:t>w</w:t>
      </w:r>
      <w:r w:rsidRPr="00755720">
        <w:rPr>
          <w:i/>
          <w:vertAlign w:val="subscript"/>
        </w:rPr>
        <w:t>j</w:t>
      </w:r>
      <w:r>
        <w:rPr>
          <w:vertAlign w:val="subscript"/>
        </w:rPr>
        <w:t xml:space="preserve"> </w:t>
      </w:r>
      <w:r>
        <w:t>(</w:t>
      </w:r>
      <w:r w:rsidRPr="00755720">
        <w:rPr>
          <w:i/>
        </w:rPr>
        <w:t>j</w:t>
      </w:r>
      <w:r>
        <w:t>=1,...,</w:t>
      </w:r>
      <w:r w:rsidR="00755720" w:rsidRPr="00755720">
        <w:t xml:space="preserve"> </w:t>
      </w:r>
      <w:r w:rsidRPr="00755720">
        <w:rPr>
          <w:i/>
        </w:rPr>
        <w:t>NC</w:t>
      </w:r>
      <w:r>
        <w:t xml:space="preserve">) — скорость потока </w:t>
      </w:r>
      <w:r w:rsidRPr="00755720">
        <w:rPr>
          <w:i/>
        </w:rPr>
        <w:t>j</w:t>
      </w:r>
      <w:r>
        <w:t xml:space="preserve">-й </w:t>
      </w:r>
      <w:r w:rsidR="00755720">
        <w:t>конденсированной</w:t>
      </w:r>
      <w:r>
        <w:t xml:space="preserve"> фазы относительно детонационного фронта; </w:t>
      </w:r>
      <w:r w:rsidRPr="00755720">
        <w:rPr>
          <w:i/>
        </w:rPr>
        <w:t>p</w:t>
      </w:r>
      <w:r>
        <w:t xml:space="preserve"> и </w:t>
      </w:r>
      <w:r w:rsidRPr="00755720">
        <w:rPr>
          <w:i/>
        </w:rPr>
        <w:t>v</w:t>
      </w:r>
      <w:r>
        <w:t xml:space="preserve"> —давление и удельный объем ПД в точке Чепмена — Жуге; </w:t>
      </w:r>
      <w:r w:rsidRPr="00755720">
        <w:rPr>
          <w:i/>
        </w:rPr>
        <w:t>M</w:t>
      </w:r>
      <w:r w:rsidRPr="00755720">
        <w:rPr>
          <w:i/>
          <w:vertAlign w:val="subscript"/>
        </w:rPr>
        <w:t>j</w:t>
      </w:r>
      <w:r>
        <w:t xml:space="preserve"> (j=</w:t>
      </w:r>
      <w:r w:rsidRPr="00755720">
        <w:rPr>
          <w:i/>
        </w:rPr>
        <w:t>1</w:t>
      </w:r>
      <w:r>
        <w:t>,...,</w:t>
      </w:r>
      <w:r w:rsidR="00755720" w:rsidRPr="00755720">
        <w:t xml:space="preserve"> </w:t>
      </w:r>
      <w:r w:rsidRPr="00755720">
        <w:rPr>
          <w:i/>
        </w:rPr>
        <w:t>NC</w:t>
      </w:r>
      <w:r>
        <w:t xml:space="preserve">) — молярная масса </w:t>
      </w:r>
      <w:r w:rsidRPr="00755720">
        <w:rPr>
          <w:i/>
        </w:rPr>
        <w:t>j</w:t>
      </w:r>
      <w:r>
        <w:t xml:space="preserve">-й конденсированной фазы; </w:t>
      </w:r>
      <w:r w:rsidRPr="00755720">
        <w:rPr>
          <w:i/>
          <w:u w:val="single"/>
        </w:rPr>
        <w:t>n</w:t>
      </w:r>
      <w:r w:rsidRPr="00755720">
        <w:rPr>
          <w:i/>
          <w:u w:val="single"/>
          <w:vertAlign w:val="superscript"/>
        </w:rPr>
        <w:t>c</w:t>
      </w:r>
      <w:r w:rsidRPr="00755720">
        <w:rPr>
          <w:i/>
          <w:u w:val="single"/>
          <w:vertAlign w:val="subscript"/>
        </w:rPr>
        <w:t>j</w:t>
      </w:r>
      <w:r>
        <w:t xml:space="preserve"> (</w:t>
      </w:r>
      <w:r w:rsidRPr="00755720">
        <w:rPr>
          <w:i/>
        </w:rPr>
        <w:t>j</w:t>
      </w:r>
      <w:r>
        <w:t>=1,...,</w:t>
      </w:r>
      <w:r w:rsidR="00755720" w:rsidRPr="00755720">
        <w:t xml:space="preserve"> </w:t>
      </w:r>
      <w:r w:rsidRPr="00755720">
        <w:rPr>
          <w:i/>
        </w:rPr>
        <w:t>NC</w:t>
      </w:r>
      <w:r>
        <w:t xml:space="preserve">) — число кмолей </w:t>
      </w:r>
      <w:r w:rsidRPr="00755720">
        <w:rPr>
          <w:i/>
        </w:rPr>
        <w:t>j</w:t>
      </w:r>
      <w:r>
        <w:t xml:space="preserve">-й конденсированной фазы в 1 кг ПД; </w:t>
      </w:r>
      <w:r w:rsidRPr="00755720">
        <w:rPr>
          <w:i/>
        </w:rPr>
        <w:t>h</w:t>
      </w:r>
      <w:r w:rsidRPr="00755720">
        <w:rPr>
          <w:i/>
          <w:vertAlign w:val="subscript"/>
        </w:rPr>
        <w:t>g</w:t>
      </w:r>
      <w:r>
        <w:t xml:space="preserve"> — энтальпия газовой фазы в 1кг ПД; </w:t>
      </w:r>
      <w:r w:rsidRPr="00755720">
        <w:rPr>
          <w:i/>
        </w:rPr>
        <w:t>h</w:t>
      </w:r>
      <w:r w:rsidRPr="00755720">
        <w:rPr>
          <w:i/>
          <w:vertAlign w:val="subscript"/>
        </w:rPr>
        <w:t>j</w:t>
      </w:r>
      <w:r>
        <w:t xml:space="preserve"> (</w:t>
      </w:r>
      <w:r w:rsidRPr="00755720">
        <w:rPr>
          <w:i/>
        </w:rPr>
        <w:t>j</w:t>
      </w:r>
      <w:r>
        <w:t>=1,...,</w:t>
      </w:r>
      <w:r w:rsidR="00755720" w:rsidRPr="00755720">
        <w:t xml:space="preserve"> </w:t>
      </w:r>
      <w:r w:rsidRPr="00755720">
        <w:rPr>
          <w:i/>
        </w:rPr>
        <w:t>NC</w:t>
      </w:r>
      <w:r>
        <w:t xml:space="preserve">)  — энтальпия  </w:t>
      </w:r>
      <w:r w:rsidRPr="00755720">
        <w:rPr>
          <w:i/>
        </w:rPr>
        <w:t>j</w:t>
      </w:r>
      <w:r>
        <w:t xml:space="preserve">-й конденсированной фазы в 1 кг ПД; </w:t>
      </w:r>
      <w:r w:rsidRPr="00755720">
        <w:rPr>
          <w:i/>
        </w:rPr>
        <w:t>NC</w:t>
      </w:r>
      <w:r>
        <w:t xml:space="preserve"> — число конденсированных фаз в ПД.</w:t>
      </w:r>
    </w:p>
    <w:p w:rsidR="006D5342" w:rsidRDefault="006D5342" w:rsidP="00233EA7">
      <w:pPr>
        <w:spacing w:line="360" w:lineRule="auto"/>
        <w:ind w:right="283" w:firstLine="708"/>
        <w:jc w:val="both"/>
      </w:pPr>
      <w:r>
        <w:t xml:space="preserve">Уравнения </w:t>
      </w:r>
      <w:r w:rsidR="00324EF5">
        <w:t>(1) преобразуем</w:t>
      </w:r>
      <w:r>
        <w:t xml:space="preserve"> к виду:</w:t>
      </w:r>
    </w:p>
    <w:p w:rsidR="006D5342" w:rsidRDefault="00324EF5" w:rsidP="00233EA7">
      <w:pPr>
        <w:spacing w:line="360" w:lineRule="auto"/>
        <w:ind w:right="283"/>
        <w:jc w:val="right"/>
      </w:pPr>
      <w:r>
        <w:rPr>
          <w:position w:val="-36"/>
          <w:szCs w:val="20"/>
        </w:rPr>
        <w:object w:dxaOrig="4720" w:dyaOrig="840">
          <v:shape id="_x0000_i1028" type="#_x0000_t75" style="width:235.95pt;height:42.35pt" o:ole="">
            <v:imagedata r:id="rId15" o:title=""/>
          </v:shape>
          <o:OLEObject Type="Embed" ProgID="Equation.3" ShapeID="_x0000_i1028" DrawAspect="Content" ObjectID="_1509201034" r:id="rId16"/>
        </w:object>
      </w:r>
      <w:r w:rsidR="006D5342">
        <w:t xml:space="preserve">              </w:t>
      </w:r>
      <w:r>
        <w:t>(5</w:t>
      </w:r>
      <w:r w:rsidR="006D5342">
        <w:t>)</w:t>
      </w:r>
    </w:p>
    <w:p w:rsidR="006D5342" w:rsidRDefault="006D5342" w:rsidP="00233EA7">
      <w:pPr>
        <w:spacing w:line="360" w:lineRule="auto"/>
        <w:ind w:right="283"/>
        <w:jc w:val="center"/>
      </w:pPr>
      <w:r w:rsidRPr="00324EF5">
        <w:rPr>
          <w:i/>
        </w:rPr>
        <w:t>i</w:t>
      </w:r>
      <w:r>
        <w:t>=1,...,</w:t>
      </w:r>
      <w:r w:rsidR="00324EF5">
        <w:t xml:space="preserve"> </w:t>
      </w:r>
      <w:r w:rsidRPr="00324EF5">
        <w:rPr>
          <w:i/>
        </w:rPr>
        <w:t>NEL</w:t>
      </w:r>
      <w:r>
        <w:t>,</w:t>
      </w:r>
    </w:p>
    <w:p w:rsidR="00324EF5" w:rsidRDefault="006D5342" w:rsidP="00233EA7">
      <w:pPr>
        <w:spacing w:line="360" w:lineRule="auto"/>
        <w:ind w:right="283"/>
        <w:jc w:val="both"/>
      </w:pPr>
      <w:r>
        <w:t xml:space="preserve">где </w:t>
      </w:r>
      <w:r w:rsidR="00324EF5" w:rsidRPr="00324EF5">
        <w:rPr>
          <w:position w:val="-12"/>
          <w:szCs w:val="20"/>
        </w:rPr>
        <w:object w:dxaOrig="260" w:dyaOrig="380">
          <v:shape id="_x0000_i1029" type="#_x0000_t75" style="width:12.7pt;height:19.35pt" o:ole="">
            <v:imagedata r:id="rId17" o:title=""/>
          </v:shape>
          <o:OLEObject Type="Embed" ProgID="Equation.3" ShapeID="_x0000_i1029" DrawAspect="Content" ObjectID="_1509201035" r:id="rId18"/>
        </w:object>
      </w:r>
      <w:r>
        <w:t xml:space="preserve"> — число кг-атомов </w:t>
      </w:r>
      <w:r w:rsidRPr="00324EF5">
        <w:rPr>
          <w:i/>
        </w:rPr>
        <w:t>i</w:t>
      </w:r>
      <w:r>
        <w:t>-го химического элемента в 1 кг исходной смеси.</w:t>
      </w:r>
    </w:p>
    <w:p w:rsidR="006D5342" w:rsidRDefault="006D5342" w:rsidP="00233EA7">
      <w:pPr>
        <w:spacing w:line="360" w:lineRule="auto"/>
        <w:ind w:right="283" w:firstLine="708"/>
        <w:jc w:val="both"/>
      </w:pPr>
      <w:r>
        <w:t xml:space="preserve">Скорости конденсированных фаз задаются извне, так как не могут быть вычислены без привлечений кинетических зависимостей. Очевидно, что скорости конденсированных фаз удобно задавать в виде отношения </w:t>
      </w:r>
      <w:r w:rsidR="00324EF5">
        <w:rPr>
          <w:position w:val="-32"/>
          <w:szCs w:val="20"/>
        </w:rPr>
        <w:object w:dxaOrig="380" w:dyaOrig="740">
          <v:shape id="_x0000_i1030" type="#_x0000_t75" style="width:19.35pt;height:36.9pt" o:ole="">
            <v:imagedata r:id="rId19" o:title=""/>
          </v:shape>
          <o:OLEObject Type="Embed" ProgID="Equation.3" ShapeID="_x0000_i1030" DrawAspect="Content" ObjectID="_1509201036" r:id="rId20"/>
        </w:object>
      </w:r>
      <w:r>
        <w:t xml:space="preserve"> (</w:t>
      </w:r>
      <w:r w:rsidRPr="00324EF5">
        <w:rPr>
          <w:i/>
        </w:rPr>
        <w:t>j</w:t>
      </w:r>
      <w:r>
        <w:t>=1,...,</w:t>
      </w:r>
      <w:r w:rsidR="00324EF5">
        <w:t xml:space="preserve"> </w:t>
      </w:r>
      <w:r w:rsidRPr="00324EF5">
        <w:rPr>
          <w:i/>
        </w:rPr>
        <w:t>NC</w:t>
      </w:r>
      <w:r w:rsidR="00324EF5">
        <w:t xml:space="preserve">). </w:t>
      </w:r>
      <w:r w:rsidR="0083155A">
        <w:t>При механическом равновесии</w:t>
      </w:r>
      <w:r>
        <w:t xml:space="preserve"> </w:t>
      </w:r>
      <w:r w:rsidR="00324EF5">
        <w:rPr>
          <w:position w:val="-32"/>
          <w:szCs w:val="20"/>
        </w:rPr>
        <w:object w:dxaOrig="380" w:dyaOrig="740">
          <v:shape id="_x0000_i1031" type="#_x0000_t75" style="width:19.35pt;height:36.9pt" o:ole="">
            <v:imagedata r:id="rId21" o:title=""/>
          </v:shape>
          <o:OLEObject Type="Embed" ProgID="Equation.3" ShapeID="_x0000_i1031" DrawAspect="Content" ObjectID="_1509201037" r:id="rId22"/>
        </w:object>
      </w:r>
      <w:r w:rsidR="0083155A" w:rsidRPr="0083155A">
        <w:t>=</w:t>
      </w:r>
      <w:proofErr w:type="spellStart"/>
      <w:r w:rsidR="0083155A">
        <w:rPr>
          <w:lang w:val="en-US"/>
        </w:rPr>
        <w:t>const</w:t>
      </w:r>
      <w:proofErr w:type="spellEnd"/>
      <w:r>
        <w:t>, а газодинамические переменные исключаются из уравнений термодинамического расчета.</w:t>
      </w:r>
    </w:p>
    <w:p w:rsidR="00324EF5" w:rsidRDefault="00324EF5" w:rsidP="00233EA7">
      <w:pPr>
        <w:spacing w:line="360" w:lineRule="auto"/>
        <w:ind w:right="283" w:firstLine="708"/>
        <w:jc w:val="both"/>
      </w:pPr>
      <w:r>
        <w:t>Условие (4) с уравнениями (1) — (3</w:t>
      </w:r>
      <w:r w:rsidR="006D5342">
        <w:t>) замыкают систему термодинамических уравнений, т.е. определяют два внешних термодинамических параметра (остальные внешние параметры, характеризующие неравновесное состояние, считаются заданными).</w:t>
      </w:r>
    </w:p>
    <w:p w:rsidR="006D5342" w:rsidRDefault="006D5342" w:rsidP="00233EA7">
      <w:pPr>
        <w:spacing w:line="360" w:lineRule="auto"/>
        <w:ind w:right="283" w:firstLine="708"/>
        <w:jc w:val="both"/>
      </w:pPr>
      <w:r>
        <w:t xml:space="preserve">С математической точки зрения отыскание значений переменных </w:t>
      </w:r>
      <w:r w:rsidRPr="00324EF5">
        <w:rPr>
          <w:i/>
        </w:rPr>
        <w:t>v</w:t>
      </w:r>
      <w:r>
        <w:t xml:space="preserve">, </w:t>
      </w:r>
      <w:r w:rsidRPr="00324EF5">
        <w:rPr>
          <w:i/>
        </w:rPr>
        <w:t>T</w:t>
      </w:r>
      <w:r>
        <w:t xml:space="preserve">, </w:t>
      </w:r>
      <w:r w:rsidRPr="00324EF5">
        <w:rPr>
          <w:i/>
        </w:rPr>
        <w:t>D</w:t>
      </w:r>
      <w:r>
        <w:t xml:space="preserve"> и </w:t>
      </w:r>
      <w:r w:rsidRPr="00324EF5">
        <w:rPr>
          <w:i/>
        </w:rPr>
        <w:t>w</w:t>
      </w:r>
      <w:r w:rsidRPr="00324EF5">
        <w:rPr>
          <w:i/>
          <w:vertAlign w:val="subscript"/>
        </w:rPr>
        <w:t>g</w:t>
      </w:r>
      <w:r>
        <w:t xml:space="preserve">, удовлетворяющие уравнениям (1) — (3) и минимизирующих значение </w:t>
      </w:r>
      <w:r w:rsidRPr="00324EF5">
        <w:rPr>
          <w:i/>
        </w:rPr>
        <w:t>D</w:t>
      </w:r>
      <w:r>
        <w:t>, представляет собой задачу на отыскание условного минимума. Эта задача сводится к отысканию безусловного минимума методом Лагранжа. Вводится функция Лагранжа:</w:t>
      </w:r>
    </w:p>
    <w:p w:rsidR="006D5342" w:rsidRDefault="00324EF5" w:rsidP="00233EA7">
      <w:pPr>
        <w:spacing w:line="360" w:lineRule="auto"/>
        <w:ind w:right="283"/>
        <w:jc w:val="right"/>
      </w:pPr>
      <w:r w:rsidRPr="00324EF5">
        <w:rPr>
          <w:position w:val="-116"/>
          <w:szCs w:val="20"/>
        </w:rPr>
        <w:object w:dxaOrig="7100" w:dyaOrig="2420">
          <v:shape id="_x0000_i1032" type="#_x0000_t75" style="width:355.15pt;height:121pt" o:ole="">
            <v:imagedata r:id="rId23" o:title=""/>
          </v:shape>
          <o:OLEObject Type="Embed" ProgID="Equation.3" ShapeID="_x0000_i1032" DrawAspect="Content" ObjectID="_1509201038" r:id="rId24"/>
        </w:object>
      </w:r>
      <w:r w:rsidR="006D5342">
        <w:t xml:space="preserve"> (</w:t>
      </w:r>
      <w:r>
        <w:t>6</w:t>
      </w:r>
      <w:r w:rsidR="006D5342">
        <w:t>)</w:t>
      </w:r>
    </w:p>
    <w:p w:rsidR="006D5342" w:rsidRDefault="006D5342" w:rsidP="00233EA7">
      <w:pPr>
        <w:spacing w:line="360" w:lineRule="auto"/>
        <w:ind w:right="283"/>
        <w:jc w:val="both"/>
      </w:pPr>
      <w:r>
        <w:t xml:space="preserve">где </w:t>
      </w:r>
      <w:r>
        <w:rPr>
          <w:position w:val="-10"/>
          <w:szCs w:val="20"/>
        </w:rPr>
        <w:object w:dxaOrig="1164" w:dyaOrig="336">
          <v:shape id="_x0000_i1033" type="#_x0000_t75" style="width:58.7pt;height:16.95pt" o:ole="">
            <v:imagedata r:id="rId25" o:title=""/>
          </v:shape>
          <o:OLEObject Type="Embed" ProgID="Equation.2" ShapeID="_x0000_i1033" DrawAspect="Content" ObjectID="_1509201039" r:id="rId26"/>
        </w:object>
      </w:r>
      <w:r>
        <w:t xml:space="preserve"> — множители Лагранжа.</w:t>
      </w:r>
    </w:p>
    <w:p w:rsidR="00424F54" w:rsidRDefault="00424F54" w:rsidP="00233EA7">
      <w:pPr>
        <w:spacing w:line="360" w:lineRule="auto"/>
        <w:ind w:right="283"/>
        <w:jc w:val="both"/>
      </w:pPr>
    </w:p>
    <w:p w:rsidR="006D5342" w:rsidRDefault="006D5342" w:rsidP="00233EA7">
      <w:pPr>
        <w:spacing w:line="360" w:lineRule="auto"/>
        <w:ind w:right="283" w:firstLine="708"/>
        <w:jc w:val="both"/>
      </w:pPr>
      <w:r>
        <w:t xml:space="preserve">Критерием безусловного минимума функции </w:t>
      </w:r>
      <w:r w:rsidRPr="00324EF5">
        <w:rPr>
          <w:i/>
        </w:rPr>
        <w:t>L</w:t>
      </w:r>
      <w:r>
        <w:t xml:space="preserve"> является равенство нулю частных производных этой функции по независимым переменным </w:t>
      </w:r>
      <w:r w:rsidRPr="00324EF5">
        <w:rPr>
          <w:i/>
        </w:rPr>
        <w:t>v</w:t>
      </w:r>
      <w:r>
        <w:t xml:space="preserve">, </w:t>
      </w:r>
      <w:r w:rsidRPr="00324EF5">
        <w:rPr>
          <w:i/>
        </w:rPr>
        <w:t>T</w:t>
      </w:r>
      <w:r>
        <w:t xml:space="preserve">, </w:t>
      </w:r>
      <w:r w:rsidRPr="00324EF5">
        <w:rPr>
          <w:i/>
        </w:rPr>
        <w:t>D</w:t>
      </w:r>
      <w:r>
        <w:t xml:space="preserve">, </w:t>
      </w:r>
      <w:proofErr w:type="spellStart"/>
      <w:r w:rsidRPr="00324EF5">
        <w:rPr>
          <w:i/>
        </w:rPr>
        <w:t>w</w:t>
      </w:r>
      <w:r w:rsidRPr="00324EF5">
        <w:rPr>
          <w:i/>
          <w:vertAlign w:val="subscript"/>
        </w:rPr>
        <w:t>g</w:t>
      </w:r>
      <w:proofErr w:type="spellEnd"/>
      <w:r>
        <w:t xml:space="preserve"> , </w:t>
      </w:r>
      <w:r>
        <w:rPr>
          <w:position w:val="-10"/>
          <w:szCs w:val="20"/>
        </w:rPr>
        <w:object w:dxaOrig="1164" w:dyaOrig="336">
          <v:shape id="_x0000_i1034" type="#_x0000_t75" style="width:58.7pt;height:16.95pt" o:ole="">
            <v:imagedata r:id="rId25" o:title=""/>
          </v:shape>
          <o:OLEObject Type="Embed" ProgID="Equation.2" ShapeID="_x0000_i1034" DrawAspect="Content" ObjectID="_1509201040" r:id="rId27"/>
        </w:object>
      </w:r>
      <w:r>
        <w:t>.</w:t>
      </w:r>
    </w:p>
    <w:p w:rsidR="00424F54" w:rsidRDefault="006D5342" w:rsidP="00233EA7">
      <w:pPr>
        <w:spacing w:line="360" w:lineRule="auto"/>
        <w:ind w:right="283" w:firstLine="708"/>
        <w:jc w:val="both"/>
      </w:pPr>
      <w:r>
        <w:t>Получающаяся система уравнений разби</w:t>
      </w:r>
      <w:r w:rsidR="00424F54">
        <w:t>вается на две системы уравнений:</w:t>
      </w:r>
    </w:p>
    <w:p w:rsidR="006D5342" w:rsidRDefault="00424F54" w:rsidP="00233EA7">
      <w:pPr>
        <w:spacing w:line="360" w:lineRule="auto"/>
        <w:ind w:right="283" w:firstLine="708"/>
        <w:jc w:val="both"/>
      </w:pPr>
      <w:r>
        <w:t>О</w:t>
      </w:r>
      <w:r w:rsidR="006D5342">
        <w:t>дна из них является системой линейных уравнений для определения Лагранжевых множителей:</w:t>
      </w:r>
    </w:p>
    <w:p w:rsidR="006D5342" w:rsidRDefault="00424F54" w:rsidP="00233EA7">
      <w:pPr>
        <w:spacing w:line="360" w:lineRule="auto"/>
        <w:ind w:right="283"/>
        <w:jc w:val="right"/>
      </w:pPr>
      <w:r w:rsidRPr="00424F54">
        <w:rPr>
          <w:position w:val="-126"/>
          <w:szCs w:val="20"/>
        </w:rPr>
        <w:object w:dxaOrig="8419" w:dyaOrig="2640">
          <v:shape id="_x0000_i1035" type="#_x0000_t75" style="width:420.5pt;height:131.9pt" o:ole="">
            <v:imagedata r:id="rId28" o:title=""/>
          </v:shape>
          <o:OLEObject Type="Embed" ProgID="Equation.3" ShapeID="_x0000_i1035" DrawAspect="Content" ObjectID="_1509201041" r:id="rId29"/>
        </w:object>
      </w:r>
      <w:r w:rsidR="006D5342">
        <w:t>(</w:t>
      </w:r>
      <w:r>
        <w:t>7</w:t>
      </w:r>
      <w:r w:rsidR="006D5342">
        <w:t>)</w:t>
      </w:r>
    </w:p>
    <w:p w:rsidR="006D5342" w:rsidRDefault="009744D0" w:rsidP="00233EA7">
      <w:pPr>
        <w:spacing w:line="360" w:lineRule="auto"/>
        <w:ind w:right="283"/>
        <w:jc w:val="right"/>
      </w:pPr>
      <w:r w:rsidRPr="009744D0">
        <w:rPr>
          <w:position w:val="-82"/>
          <w:szCs w:val="20"/>
        </w:rPr>
        <w:object w:dxaOrig="7880" w:dyaOrig="1760">
          <v:shape id="_x0000_i1036" type="#_x0000_t75" style="width:393.9pt;height:88.35pt" o:ole="">
            <v:imagedata r:id="rId30" o:title=""/>
          </v:shape>
          <o:OLEObject Type="Embed" ProgID="Equation.3" ShapeID="_x0000_i1036" DrawAspect="Content" ObjectID="_1509201042" r:id="rId31"/>
        </w:object>
      </w:r>
      <w:r>
        <w:rPr>
          <w:szCs w:val="20"/>
        </w:rPr>
        <w:t xml:space="preserve">     </w:t>
      </w:r>
      <w:r w:rsidR="006D5342">
        <w:t>(</w:t>
      </w:r>
      <w:r>
        <w:t>8</w:t>
      </w:r>
      <w:r w:rsidR="006D5342">
        <w:t>)</w:t>
      </w:r>
    </w:p>
    <w:p w:rsidR="006D5342" w:rsidRDefault="009744D0" w:rsidP="00233EA7">
      <w:pPr>
        <w:spacing w:line="360" w:lineRule="auto"/>
        <w:ind w:right="283"/>
        <w:jc w:val="right"/>
      </w:pPr>
      <w:r>
        <w:rPr>
          <w:position w:val="-30"/>
          <w:szCs w:val="20"/>
        </w:rPr>
        <w:object w:dxaOrig="3440" w:dyaOrig="700">
          <v:shape id="_x0000_i1037" type="#_x0000_t75" style="width:172.45pt;height:35.1pt" o:ole="">
            <v:imagedata r:id="rId32" o:title=""/>
          </v:shape>
          <o:OLEObject Type="Embed" ProgID="Equation.3" ShapeID="_x0000_i1037" DrawAspect="Content" ObjectID="_1509201043" r:id="rId33"/>
        </w:object>
      </w:r>
      <w:r w:rsidR="006D5342">
        <w:t xml:space="preserve">                     </w:t>
      </w:r>
      <w:r>
        <w:t>(9</w:t>
      </w:r>
      <w:r w:rsidR="006D5342">
        <w:t>)</w:t>
      </w:r>
    </w:p>
    <w:p w:rsidR="00E32F62" w:rsidRDefault="006D5342" w:rsidP="00233EA7">
      <w:pPr>
        <w:pStyle w:val="aa"/>
        <w:spacing w:before="120" w:line="360" w:lineRule="auto"/>
        <w:ind w:firstLine="720"/>
      </w:pPr>
      <w:r>
        <w:t xml:space="preserve">Другая система уравнений служит для определения </w:t>
      </w:r>
      <w:r w:rsidRPr="009744D0">
        <w:rPr>
          <w:i/>
        </w:rPr>
        <w:t>v</w:t>
      </w:r>
      <w:r>
        <w:t xml:space="preserve">, </w:t>
      </w:r>
      <w:r w:rsidRPr="009744D0">
        <w:rPr>
          <w:i/>
        </w:rPr>
        <w:t>T</w:t>
      </w:r>
      <w:r>
        <w:t xml:space="preserve">, </w:t>
      </w:r>
      <w:r w:rsidRPr="009744D0">
        <w:rPr>
          <w:i/>
        </w:rPr>
        <w:t>D</w:t>
      </w:r>
      <w:r>
        <w:t xml:space="preserve">, </w:t>
      </w:r>
      <w:r w:rsidRPr="009744D0">
        <w:rPr>
          <w:i/>
        </w:rPr>
        <w:t>w</w:t>
      </w:r>
      <w:r w:rsidRPr="009744D0">
        <w:rPr>
          <w:i/>
          <w:vertAlign w:val="subscript"/>
        </w:rPr>
        <w:t>g</w:t>
      </w:r>
      <w:r>
        <w:t xml:space="preserve">. Однако уравнения этой системы нелинейны относительно переменных, и решается система уравнений численно методом функциональных итераций Ньютона. </w:t>
      </w:r>
    </w:p>
    <w:p w:rsidR="00AD0025" w:rsidRDefault="00AD0025" w:rsidP="00233EA7">
      <w:pPr>
        <w:pStyle w:val="aa"/>
        <w:spacing w:before="120" w:line="360" w:lineRule="auto"/>
        <w:ind w:firstLine="720"/>
      </w:pPr>
    </w:p>
    <w:p w:rsidR="00E32F62" w:rsidRDefault="00E32F62" w:rsidP="00233EA7">
      <w:pPr>
        <w:pStyle w:val="1"/>
        <w:spacing w:line="360" w:lineRule="auto"/>
      </w:pPr>
      <w:bookmarkStart w:id="2" w:name="_Toc427262414"/>
      <w:r>
        <w:lastRenderedPageBreak/>
        <w:t>Пример расчета свойств продуктов детонации конденсированного ВВ с использованием реалистичных уравнений состояния.</w:t>
      </w:r>
      <w:bookmarkEnd w:id="2"/>
    </w:p>
    <w:p w:rsidR="0083155A" w:rsidRPr="000707C5" w:rsidRDefault="0083155A" w:rsidP="00233EA7">
      <w:pPr>
        <w:pStyle w:val="aa"/>
        <w:spacing w:before="120" w:line="360" w:lineRule="auto"/>
        <w:ind w:firstLine="720"/>
        <w:jc w:val="both"/>
      </w:pPr>
      <w:r w:rsidRPr="000707C5">
        <w:t xml:space="preserve">Рассчитать параметры и состав </w:t>
      </w:r>
      <w:r w:rsidR="00E32F62">
        <w:t>ПД</w:t>
      </w:r>
      <w:r w:rsidRPr="000707C5">
        <w:t xml:space="preserve"> в точке Чепмена – Жуге конденсированного взрывчатого вещества ТЭН (PETN) в диапазоне начальных плотностей заряда от максимальной плотности, равной 1760 кг/м</w:t>
      </w:r>
      <w:r w:rsidRPr="000707C5">
        <w:rPr>
          <w:vertAlign w:val="superscript"/>
        </w:rPr>
        <w:t xml:space="preserve">3 </w:t>
      </w:r>
      <w:r w:rsidRPr="000707C5">
        <w:t xml:space="preserve"> до 250 кг/м</w:t>
      </w:r>
      <w:r w:rsidRPr="000707C5">
        <w:rPr>
          <w:vertAlign w:val="superscript"/>
        </w:rPr>
        <w:t>3</w:t>
      </w:r>
      <w:r w:rsidRPr="000707C5">
        <w:t>.</w:t>
      </w:r>
    </w:p>
    <w:p w:rsidR="0083155A" w:rsidRPr="000707C5" w:rsidRDefault="00E32F62" w:rsidP="00233EA7">
      <w:pPr>
        <w:spacing w:before="120" w:line="360" w:lineRule="auto"/>
        <w:ind w:firstLine="720"/>
        <w:jc w:val="both"/>
      </w:pPr>
      <w:r w:rsidRPr="008D0EBD">
        <w:rPr>
          <w:i/>
        </w:rPr>
        <w:t xml:space="preserve">Важную роль при моделировании параметров детонации конденсированных ВВ в отличие от параметров газовых систем играет правильный выбор уравнений состояния </w:t>
      </w:r>
      <w:r w:rsidR="008D0EBD">
        <w:rPr>
          <w:i/>
        </w:rPr>
        <w:t xml:space="preserve">(УРС) </w:t>
      </w:r>
      <w:r w:rsidRPr="008D0EBD">
        <w:rPr>
          <w:i/>
        </w:rPr>
        <w:t>газовой и конденсированных фаз ПД.</w:t>
      </w:r>
      <w:r>
        <w:t xml:space="preserve"> Вследствие высоких значений давления и температуры ПД становится неприменимыми простые уравнения состояния типа модели идеального газа и несжимаемого вещества.</w:t>
      </w:r>
    </w:p>
    <w:p w:rsidR="0083155A" w:rsidRPr="000707C5" w:rsidRDefault="0083155A" w:rsidP="00233EA7">
      <w:pPr>
        <w:spacing w:before="120" w:line="360" w:lineRule="auto"/>
        <w:ind w:firstLine="720"/>
        <w:jc w:val="both"/>
      </w:pPr>
      <w:r w:rsidRPr="000707C5">
        <w:t xml:space="preserve">В блок ввода «Исходные реагенты» введем химическую брутто формулу рассматриваемого конденсированного ВВ – ТЭНа </w:t>
      </w:r>
      <w:r w:rsidRPr="000707C5">
        <w:rPr>
          <w:snapToGrid w:val="0"/>
          <w:color w:val="000000"/>
        </w:rPr>
        <w:t>C</w:t>
      </w:r>
      <w:r w:rsidRPr="000707C5">
        <w:rPr>
          <w:snapToGrid w:val="0"/>
          <w:color w:val="000000"/>
          <w:vertAlign w:val="subscript"/>
        </w:rPr>
        <w:t>5</w:t>
      </w:r>
      <w:r w:rsidRPr="000707C5">
        <w:rPr>
          <w:snapToGrid w:val="0"/>
          <w:color w:val="000000"/>
        </w:rPr>
        <w:t>H</w:t>
      </w:r>
      <w:r w:rsidRPr="000707C5">
        <w:rPr>
          <w:snapToGrid w:val="0"/>
          <w:color w:val="000000"/>
          <w:vertAlign w:val="subscript"/>
        </w:rPr>
        <w:t>8</w:t>
      </w:r>
      <w:r w:rsidRPr="000707C5">
        <w:rPr>
          <w:snapToGrid w:val="0"/>
          <w:color w:val="000000"/>
        </w:rPr>
        <w:t>N</w:t>
      </w:r>
      <w:r w:rsidRPr="000707C5">
        <w:rPr>
          <w:snapToGrid w:val="0"/>
          <w:color w:val="000000"/>
          <w:vertAlign w:val="subscript"/>
        </w:rPr>
        <w:t>4</w:t>
      </w:r>
      <w:r w:rsidRPr="000707C5">
        <w:rPr>
          <w:snapToGrid w:val="0"/>
          <w:color w:val="000000"/>
        </w:rPr>
        <w:t>O</w:t>
      </w:r>
      <w:r w:rsidRPr="000707C5">
        <w:rPr>
          <w:snapToGrid w:val="0"/>
          <w:color w:val="000000"/>
          <w:vertAlign w:val="subscript"/>
        </w:rPr>
        <w:t>12</w:t>
      </w:r>
      <w:r w:rsidRPr="000707C5">
        <w:t xml:space="preserve">. Наберем в строке ввода латинскими буквами </w:t>
      </w:r>
      <w:r w:rsidRPr="000707C5">
        <w:rPr>
          <w:snapToGrid w:val="0"/>
          <w:color w:val="000000"/>
        </w:rPr>
        <w:t>C5H8N4O12/s/</w:t>
      </w:r>
      <w:r w:rsidRPr="000707C5">
        <w:t xml:space="preserve"> и нажмем Enter. Буква /s/ в косых скобках означает, что рассматривается конденсированное вещество в твердом агрегатном состоянии. Теперь в меню </w:t>
      </w:r>
      <w:r w:rsidRPr="000707C5">
        <w:rPr>
          <w:b/>
        </w:rPr>
        <w:t>Данные</w:t>
      </w:r>
      <w:r w:rsidRPr="000707C5">
        <w:t xml:space="preserve"> выберем команду </w:t>
      </w:r>
      <w:r w:rsidRPr="000707C5">
        <w:rPr>
          <w:u w:val="single"/>
        </w:rPr>
        <w:t>Тип задачи</w:t>
      </w:r>
      <w:r w:rsidRPr="000707C5">
        <w:t xml:space="preserve"> соответствующую рассматриваемой задаче «</w:t>
      </w:r>
      <w:r w:rsidRPr="000707C5">
        <w:rPr>
          <w:u w:val="single"/>
        </w:rPr>
        <w:t>Детонация (Чепмен - Жуге)</w:t>
      </w:r>
      <w:r w:rsidRPr="000707C5">
        <w:t>».</w:t>
      </w:r>
    </w:p>
    <w:p w:rsidR="0083155A" w:rsidRPr="000707C5" w:rsidRDefault="0083155A" w:rsidP="00233EA7">
      <w:pPr>
        <w:spacing w:before="120" w:line="360" w:lineRule="auto"/>
        <w:ind w:firstLine="720"/>
        <w:jc w:val="both"/>
      </w:pPr>
      <w:r w:rsidRPr="000707C5">
        <w:t xml:space="preserve">С помощью команды </w:t>
      </w:r>
      <w:r w:rsidRPr="000707C5">
        <w:rPr>
          <w:u w:val="single"/>
        </w:rPr>
        <w:t>Виды хим. превращений</w:t>
      </w:r>
      <w:r w:rsidRPr="000707C5">
        <w:t xml:space="preserve"> из меню </w:t>
      </w:r>
      <w:r w:rsidRPr="000707C5">
        <w:rPr>
          <w:b/>
        </w:rPr>
        <w:t>Данные</w:t>
      </w:r>
      <w:r w:rsidRPr="000707C5">
        <w:t xml:space="preserve"> можно определить, какие химические превращения будут разрешены при решении задачи. По умолчанию предполагается, что в рассматриваемом физико-химическом процессе разрешены только химические реакции. Если необходим учет ионизации продуктов, то в окне «Виды химических превращений» можно задать и эти виды превращений. </w:t>
      </w:r>
    </w:p>
    <w:p w:rsidR="0083155A" w:rsidRPr="000707C5" w:rsidRDefault="0083155A" w:rsidP="00233EA7">
      <w:pPr>
        <w:spacing w:before="120" w:line="360" w:lineRule="auto"/>
        <w:ind w:firstLine="720"/>
        <w:jc w:val="both"/>
      </w:pPr>
      <w:r w:rsidRPr="000707C5">
        <w:rPr>
          <w:noProof/>
        </w:rPr>
        <w:drawing>
          <wp:anchor distT="0" distB="0" distL="36195" distR="36195" simplePos="0" relativeHeight="251660288" behindDoc="0" locked="0" layoutInCell="0" allowOverlap="1" wp14:anchorId="1CBCBAAE" wp14:editId="0F525398">
            <wp:simplePos x="0" y="0"/>
            <wp:positionH relativeFrom="column">
              <wp:posOffset>3044825</wp:posOffset>
            </wp:positionH>
            <wp:positionV relativeFrom="paragraph">
              <wp:posOffset>1261110</wp:posOffset>
            </wp:positionV>
            <wp:extent cx="2880360" cy="681990"/>
            <wp:effectExtent l="0" t="0" r="0" b="3810"/>
            <wp:wrapSquare wrapText="bothSides"/>
            <wp:docPr id="6" name="Рисунок 6" descr="Дет_УС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_УСгаз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7C5">
        <w:t xml:space="preserve">Далее с помощью команды </w:t>
      </w:r>
      <w:r w:rsidRPr="000707C5">
        <w:rPr>
          <w:u w:val="single"/>
        </w:rPr>
        <w:t>Продукты и УС продуктов</w:t>
      </w:r>
      <w:r w:rsidRPr="000707C5">
        <w:t xml:space="preserve"> из меню </w:t>
      </w:r>
      <w:r w:rsidRPr="000707C5">
        <w:rPr>
          <w:b/>
        </w:rPr>
        <w:t>Данные</w:t>
      </w:r>
      <w:r w:rsidRPr="000707C5">
        <w:t xml:space="preserve"> зададим термические У</w:t>
      </w:r>
      <w:r w:rsidR="008D0EBD">
        <w:t>Р</w:t>
      </w:r>
      <w:r w:rsidRPr="000707C5">
        <w:t xml:space="preserve">С продуктов детонации. Так как рассматривается процесс при высоком давлении и высоких температурах, то </w:t>
      </w:r>
      <w:r w:rsidRPr="008D0EBD">
        <w:rPr>
          <w:b/>
        </w:rPr>
        <w:t>не допустимо использовать для газовой фазы У</w:t>
      </w:r>
      <w:r w:rsidR="008D0EBD" w:rsidRPr="008D0EBD">
        <w:rPr>
          <w:b/>
        </w:rPr>
        <w:t>Р</w:t>
      </w:r>
      <w:r w:rsidRPr="008D0EBD">
        <w:rPr>
          <w:b/>
        </w:rPr>
        <w:t xml:space="preserve">С </w:t>
      </w:r>
      <w:r w:rsidRPr="008D0EBD">
        <w:rPr>
          <w:i/>
        </w:rPr>
        <w:t>идеального газа.</w:t>
      </w:r>
      <w:r w:rsidRPr="000707C5">
        <w:t xml:space="preserve"> Для надежного предсказания свойств газов в широком диапазоне температур и давлений необходимо использовать</w:t>
      </w:r>
      <w:r w:rsidR="008D0EBD">
        <w:t xml:space="preserve"> реалистичные</w:t>
      </w:r>
      <w:r w:rsidRPr="000707C5">
        <w:t xml:space="preserve"> потенциальные У</w:t>
      </w:r>
      <w:r w:rsidR="008D0EBD">
        <w:t>Р</w:t>
      </w:r>
      <w:r w:rsidRPr="000707C5">
        <w:t>С типа THEOSTAR-T, полученные с использованием интегральной теории для радиальной функции распределения (</w:t>
      </w:r>
      <w:r w:rsidRPr="000707C5">
        <w:rPr>
          <w:lang w:val="en-US"/>
        </w:rPr>
        <w:t>HMSA</w:t>
      </w:r>
      <w:r w:rsidRPr="000707C5">
        <w:t xml:space="preserve">) на основе потенциала взаимодействий молекул Exp-6. Для этого выберем с помощью курсора фазу ‘Газовая фаза’ и с использованием кнопки </w:t>
      </w:r>
      <w:r w:rsidRPr="000707C5">
        <w:rPr>
          <w:i/>
        </w:rPr>
        <w:t>“Изменить УС”</w:t>
      </w:r>
      <w:r w:rsidRPr="000707C5">
        <w:t xml:space="preserve"> изменим УС газовой фазы. </w:t>
      </w:r>
    </w:p>
    <w:p w:rsidR="0083155A" w:rsidRPr="000707C5" w:rsidRDefault="0083155A" w:rsidP="00233EA7">
      <w:pPr>
        <w:spacing w:before="120" w:line="360" w:lineRule="auto"/>
        <w:ind w:firstLine="720"/>
        <w:jc w:val="both"/>
      </w:pPr>
      <w:r w:rsidRPr="000707C5">
        <w:lastRenderedPageBreak/>
        <w:t xml:space="preserve">Предположим, что вероятность образования жидких продуктов невелика и исключим их из рассмотрения. Для этого последовательно выберем в списке фаз следующие конденсированные фазы: С/l/ и H2O/l/ и нажмем кнопку </w:t>
      </w:r>
      <w:r w:rsidRPr="000707C5">
        <w:rPr>
          <w:i/>
        </w:rPr>
        <w:t>“Исключить”</w:t>
      </w:r>
      <w:r w:rsidRPr="000707C5">
        <w:t xml:space="preserve">, расположенную под списком фаз. Так как выбран температурный интервал с высокими значениями температуры, то вероятность образования льда (H2O/s/) тоже незначительна, поэтому с помощью кнопки </w:t>
      </w:r>
      <w:r w:rsidRPr="000707C5">
        <w:rPr>
          <w:i/>
        </w:rPr>
        <w:t>«Исключить»</w:t>
      </w:r>
      <w:r w:rsidRPr="000707C5">
        <w:t xml:space="preserve"> исключим из рассмотрения и лед. Остались в рассмотрении две конденсированные фазы углерода: алмаз C/s/diamond и графит C/s/graphite. Предположим, что в продуктах детонации углерод образовывается в виде нанодисперстных частиц графита и алмаза. Для алмаза и графита изменим У</w:t>
      </w:r>
      <w:r w:rsidR="008D0EBD">
        <w:t>Р</w:t>
      </w:r>
      <w:r w:rsidRPr="000707C5">
        <w:t>С несжимаемого вещества на У</w:t>
      </w:r>
      <w:r w:rsidR="008D0EBD">
        <w:t>Р</w:t>
      </w:r>
      <w:r w:rsidRPr="000707C5">
        <w:t xml:space="preserve">С в виде Грюнайзена с модифицированным набором коэффициентов, Ф. Ри (F.H. Ree). </w:t>
      </w:r>
    </w:p>
    <w:p w:rsidR="0083155A" w:rsidRPr="000707C5" w:rsidRDefault="00E63BF2" w:rsidP="00233EA7">
      <w:pPr>
        <w:spacing w:before="120" w:line="360" w:lineRule="auto"/>
        <w:ind w:firstLine="720"/>
        <w:jc w:val="both"/>
      </w:pPr>
      <w:r w:rsidRPr="000707C5">
        <w:rPr>
          <w:noProof/>
        </w:rPr>
        <w:drawing>
          <wp:anchor distT="0" distB="0" distL="36195" distR="36195" simplePos="0" relativeHeight="251661312" behindDoc="0" locked="0" layoutInCell="0" allowOverlap="1" wp14:anchorId="645DB267" wp14:editId="7991FE7E">
            <wp:simplePos x="0" y="0"/>
            <wp:positionH relativeFrom="margin">
              <wp:align>left</wp:align>
            </wp:positionH>
            <wp:positionV relativeFrom="margin">
              <wp:posOffset>386080</wp:posOffset>
            </wp:positionV>
            <wp:extent cx="3427095" cy="2184400"/>
            <wp:effectExtent l="0" t="0" r="1905" b="6350"/>
            <wp:wrapSquare wrapText="bothSides"/>
            <wp:docPr id="4" name="Рисунок 4" descr="Дет_исхда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_исхданные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55A" w:rsidRPr="000707C5">
        <w:t xml:space="preserve">Теперь с помощью команда </w:t>
      </w:r>
      <w:r w:rsidR="0083155A" w:rsidRPr="000707C5">
        <w:rPr>
          <w:u w:val="single"/>
        </w:rPr>
        <w:t>Расчетные точки задачи</w:t>
      </w:r>
      <w:r w:rsidR="0083155A" w:rsidRPr="000707C5">
        <w:t xml:space="preserve"> из меню </w:t>
      </w:r>
      <w:r w:rsidR="0083155A" w:rsidRPr="000707C5">
        <w:rPr>
          <w:b/>
        </w:rPr>
        <w:t xml:space="preserve">Данные </w:t>
      </w:r>
      <w:r w:rsidR="0083155A" w:rsidRPr="000707C5">
        <w:t xml:space="preserve">перейдем в окно расчета задачи. Зададим плотность и энтальпию образования исходного конденсированного вещества. </w:t>
      </w:r>
      <w:r w:rsidR="008F4606">
        <w:t>Предположим</w:t>
      </w:r>
      <w:r w:rsidR="0083155A" w:rsidRPr="000707C5">
        <w:t>, что конденсированный углерод может образовываться в продуктах детонации в виде нанодисперсных частиц, то необходимо сделать поправку к стандартной энтальпии образования этих фаз. Для этого активизируем окно «Мастер исходных данных задачи» из меню «Данные». Слева внизу в теме «Продукты» активизируем кнопку «Поправка к dH</w:t>
      </w:r>
      <w:r w:rsidR="0083155A" w:rsidRPr="000707C5">
        <w:rPr>
          <w:vertAlign w:val="subscript"/>
        </w:rPr>
        <w:t>f</w:t>
      </w:r>
      <w:r w:rsidR="0083155A" w:rsidRPr="000707C5">
        <w:t xml:space="preserve">(298.15К) однокомпонентных фаз». Когда она выбирается, то внутри нее появляется символ </w:t>
      </w:r>
      <w:r w:rsidR="0083155A" w:rsidRPr="000707C5">
        <w:sym w:font="Symbol" w:char="F0D6"/>
      </w:r>
      <w:r w:rsidR="0083155A" w:rsidRPr="000707C5">
        <w:t>, который указывает, что данный параметр задан. В верхней части окна на желтом фоне появилась новая тема «Поправка к dH</w:t>
      </w:r>
      <w:r w:rsidR="0083155A" w:rsidRPr="000707C5">
        <w:rPr>
          <w:vertAlign w:val="subscript"/>
        </w:rPr>
        <w:t>f</w:t>
      </w:r>
      <w:r w:rsidR="0083155A" w:rsidRPr="000707C5">
        <w:t xml:space="preserve">(298.15К) конденсированных фаз». Изменим размерность этой темы с единиц СИ на более употребляемую [ккал/моль]. Введем значение поправок к стандартной энтальпии образования алмаза 6.3ккал/моль, а для энтальпии образования графита 4.8 ккал/моль. Скопируем эти значения во все столбцы. </w:t>
      </w:r>
    </w:p>
    <w:p w:rsidR="00D755F8" w:rsidRPr="00890692" w:rsidRDefault="0083155A" w:rsidP="00233EA7">
      <w:pPr>
        <w:spacing w:before="120" w:line="360" w:lineRule="auto"/>
        <w:ind w:firstLine="720"/>
        <w:jc w:val="both"/>
      </w:pPr>
      <w:r w:rsidRPr="000707C5">
        <w:t xml:space="preserve">Произведем расчет всех столбцов. </w:t>
      </w:r>
      <w:r w:rsidRPr="000707C5">
        <w:rPr>
          <w:noProof/>
        </w:rPr>
        <w:drawing>
          <wp:anchor distT="0" distB="0" distL="36195" distR="36195" simplePos="0" relativeHeight="251662336" behindDoc="0" locked="0" layoutInCell="0" allowOverlap="1" wp14:anchorId="70DD293F" wp14:editId="6F84514B">
            <wp:simplePos x="0" y="0"/>
            <wp:positionH relativeFrom="column">
              <wp:posOffset>13970</wp:posOffset>
            </wp:positionH>
            <wp:positionV relativeFrom="paragraph">
              <wp:posOffset>280670</wp:posOffset>
            </wp:positionV>
            <wp:extent cx="3657600" cy="2588260"/>
            <wp:effectExtent l="0" t="0" r="0" b="2540"/>
            <wp:wrapSquare wrapText="bothSides"/>
            <wp:docPr id="2" name="Рисунок 2" descr="дет_результ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т_результаты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7C5">
        <w:t xml:space="preserve">В нижней части окна </w:t>
      </w:r>
      <w:r w:rsidRPr="000707C5">
        <w:lastRenderedPageBreak/>
        <w:t xml:space="preserve">после выполнения расчета на голубом фоне будут содержаться результаты решения задачи. С помощью «Мастера результатов» из меню </w:t>
      </w:r>
      <w:r w:rsidRPr="000707C5">
        <w:rPr>
          <w:b/>
        </w:rPr>
        <w:t>Результаты</w:t>
      </w:r>
      <w:r w:rsidRPr="000707C5">
        <w:t xml:space="preserve"> можно отобразить другие темы параметров продуктов детонации, которые по умолчанию не отображаются. Можно показать энергетические, дифференциальные свойства системы продуктов детонации, состав системы, скорости фаз, информацию о расчете, а также свойства однокомпонентных и многокомпонентных фаз. Полученные результаты можно </w:t>
      </w:r>
      <w:r w:rsidR="00E63BF2">
        <w:t>сравнить с экспериментальными данными и убедиться в правильности выбора УРС.</w:t>
      </w:r>
      <w:bookmarkEnd w:id="0"/>
    </w:p>
    <w:sectPr w:rsidR="00D755F8" w:rsidRPr="00890692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DC" w:rsidRDefault="002F34DC" w:rsidP="00B111A6">
      <w:r>
        <w:separator/>
      </w:r>
    </w:p>
  </w:endnote>
  <w:endnote w:type="continuationSeparator" w:id="0">
    <w:p w:rsidR="002F34DC" w:rsidRDefault="002F34DC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DC" w:rsidRDefault="002F34DC" w:rsidP="00B111A6">
      <w:r>
        <w:separator/>
      </w:r>
    </w:p>
  </w:footnote>
  <w:footnote w:type="continuationSeparator" w:id="0">
    <w:p w:rsidR="002F34DC" w:rsidRDefault="002F34DC" w:rsidP="00B1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7969"/>
    <w:rsid w:val="000C570E"/>
    <w:rsid w:val="000D78DB"/>
    <w:rsid w:val="000E5A5B"/>
    <w:rsid w:val="00117F96"/>
    <w:rsid w:val="001A0598"/>
    <w:rsid w:val="001C7321"/>
    <w:rsid w:val="00233EA7"/>
    <w:rsid w:val="0024120F"/>
    <w:rsid w:val="002B5FCB"/>
    <w:rsid w:val="002D27D1"/>
    <w:rsid w:val="002F34DC"/>
    <w:rsid w:val="00324EF5"/>
    <w:rsid w:val="00392C0B"/>
    <w:rsid w:val="00424F54"/>
    <w:rsid w:val="0046771C"/>
    <w:rsid w:val="0047659F"/>
    <w:rsid w:val="004E2E5B"/>
    <w:rsid w:val="004E69AC"/>
    <w:rsid w:val="00541A47"/>
    <w:rsid w:val="00557B0E"/>
    <w:rsid w:val="00561F41"/>
    <w:rsid w:val="00586C62"/>
    <w:rsid w:val="006557D7"/>
    <w:rsid w:val="00694D17"/>
    <w:rsid w:val="006D5342"/>
    <w:rsid w:val="006D6FE5"/>
    <w:rsid w:val="006D7F98"/>
    <w:rsid w:val="00722F46"/>
    <w:rsid w:val="00726D7A"/>
    <w:rsid w:val="00755720"/>
    <w:rsid w:val="007609EB"/>
    <w:rsid w:val="00777AD6"/>
    <w:rsid w:val="00786662"/>
    <w:rsid w:val="007A2F6E"/>
    <w:rsid w:val="007E0C0F"/>
    <w:rsid w:val="0083155A"/>
    <w:rsid w:val="00890692"/>
    <w:rsid w:val="008A478F"/>
    <w:rsid w:val="008B3931"/>
    <w:rsid w:val="008D0EBD"/>
    <w:rsid w:val="008F3B3A"/>
    <w:rsid w:val="008F4606"/>
    <w:rsid w:val="00915665"/>
    <w:rsid w:val="00971799"/>
    <w:rsid w:val="009744D0"/>
    <w:rsid w:val="009F3E1B"/>
    <w:rsid w:val="009F53AD"/>
    <w:rsid w:val="00A34C2A"/>
    <w:rsid w:val="00A729ED"/>
    <w:rsid w:val="00AA426C"/>
    <w:rsid w:val="00AC54AF"/>
    <w:rsid w:val="00AD0025"/>
    <w:rsid w:val="00B111A6"/>
    <w:rsid w:val="00B50872"/>
    <w:rsid w:val="00B976FF"/>
    <w:rsid w:val="00BB485F"/>
    <w:rsid w:val="00BD151B"/>
    <w:rsid w:val="00C76969"/>
    <w:rsid w:val="00D070FE"/>
    <w:rsid w:val="00D20B7B"/>
    <w:rsid w:val="00D42903"/>
    <w:rsid w:val="00D50A12"/>
    <w:rsid w:val="00D755F8"/>
    <w:rsid w:val="00DC0DBC"/>
    <w:rsid w:val="00E1224E"/>
    <w:rsid w:val="00E13B82"/>
    <w:rsid w:val="00E32F62"/>
    <w:rsid w:val="00E35631"/>
    <w:rsid w:val="00E63BF2"/>
    <w:rsid w:val="00F63E1C"/>
    <w:rsid w:val="00F75932"/>
    <w:rsid w:val="00FB46C6"/>
    <w:rsid w:val="00FC663A"/>
    <w:rsid w:val="00FE32DA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uiPriority w:val="99"/>
    <w:unhideWhenUsed/>
    <w:rsid w:val="002D27D1"/>
    <w:pPr>
      <w:spacing w:after="120"/>
    </w:pPr>
  </w:style>
  <w:style w:type="character" w:customStyle="1" w:styleId="ab">
    <w:name w:val="Основной текст Знак"/>
    <w:link w:val="aa"/>
    <w:uiPriority w:val="99"/>
    <w:rsid w:val="002D27D1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755F8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55F8"/>
    <w:rPr>
      <w:rFonts w:ascii="Times New Roman" w:eastAsia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755720"/>
    <w:rPr>
      <w:color w:val="808080"/>
    </w:rPr>
  </w:style>
  <w:style w:type="character" w:customStyle="1" w:styleId="apple-converted-space">
    <w:name w:val="apple-converted-space"/>
    <w:basedOn w:val="a0"/>
    <w:rsid w:val="008F4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uiPriority w:val="99"/>
    <w:unhideWhenUsed/>
    <w:rsid w:val="002D27D1"/>
    <w:pPr>
      <w:spacing w:after="120"/>
    </w:pPr>
  </w:style>
  <w:style w:type="character" w:customStyle="1" w:styleId="ab">
    <w:name w:val="Основной текст Знак"/>
    <w:link w:val="aa"/>
    <w:uiPriority w:val="99"/>
    <w:rsid w:val="002D27D1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755F8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55F8"/>
    <w:rPr>
      <w:rFonts w:ascii="Times New Roman" w:eastAsia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755720"/>
    <w:rPr>
      <w:color w:val="808080"/>
    </w:rPr>
  </w:style>
  <w:style w:type="character" w:customStyle="1" w:styleId="apple-converted-space">
    <w:name w:val="apple-converted-space"/>
    <w:basedOn w:val="a0"/>
    <w:rsid w:val="008F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6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9081</CharactersWithSpaces>
  <SharedDoc>false</SharedDoc>
  <HLinks>
    <vt:vector size="12" baseType="variant"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_Toc427253613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_Toc427253612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3</cp:revision>
  <dcterms:created xsi:type="dcterms:W3CDTF">2015-08-16T09:26:00Z</dcterms:created>
  <dcterms:modified xsi:type="dcterms:W3CDTF">2015-11-16T14:28:00Z</dcterms:modified>
</cp:coreProperties>
</file>